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20" w:rsidRPr="00826820" w:rsidRDefault="00826820" w:rsidP="00826820">
      <w:pPr>
        <w:spacing w:after="0" w:line="240" w:lineRule="auto"/>
        <w:jc w:val="center"/>
        <w:rPr>
          <w:rFonts w:ascii="Times New Roman" w:eastAsia="Times New Roman" w:hAnsi="Times New Roman" w:cs="Times New Roman"/>
          <w:b/>
          <w:sz w:val="24"/>
          <w:szCs w:val="24"/>
          <w:lang w:val="es-ES_tradnl" w:eastAsia="es-CO"/>
        </w:rPr>
      </w:pPr>
      <w:r w:rsidRPr="00826820">
        <w:rPr>
          <w:rFonts w:ascii="Times New Roman" w:eastAsia="Times New Roman" w:hAnsi="Times New Roman" w:cs="Times New Roman"/>
          <w:b/>
          <w:sz w:val="24"/>
          <w:szCs w:val="24"/>
          <w:lang w:val="es-ES_tradnl" w:eastAsia="es-CO"/>
        </w:rPr>
        <w:t>CONCEPTO No. 071921</w:t>
      </w:r>
    </w:p>
    <w:p w:rsidR="00826820" w:rsidRDefault="00826820" w:rsidP="00826820">
      <w:pPr>
        <w:spacing w:line="240" w:lineRule="auto"/>
        <w:jc w:val="center"/>
        <w:rPr>
          <w:rFonts w:ascii="Times New Roman" w:eastAsia="Times New Roman" w:hAnsi="Times New Roman" w:cs="Times New Roman"/>
          <w:b/>
          <w:sz w:val="24"/>
          <w:szCs w:val="24"/>
          <w:lang w:val="es-ES_tradnl" w:eastAsia="es-CO"/>
        </w:rPr>
      </w:pPr>
    </w:p>
    <w:p w:rsidR="00826820" w:rsidRDefault="00826820" w:rsidP="00826820">
      <w:pPr>
        <w:spacing w:line="240" w:lineRule="auto"/>
        <w:jc w:val="center"/>
        <w:rPr>
          <w:rFonts w:ascii="Times New Roman" w:eastAsia="Times New Roman" w:hAnsi="Times New Roman" w:cs="Times New Roman"/>
          <w:b/>
          <w:sz w:val="24"/>
          <w:szCs w:val="24"/>
          <w:lang w:val="es-ES_tradnl" w:eastAsia="es-CO"/>
        </w:rPr>
      </w:pPr>
      <w:r w:rsidRPr="00826820">
        <w:rPr>
          <w:rFonts w:ascii="Times New Roman" w:eastAsia="Times New Roman" w:hAnsi="Times New Roman" w:cs="Times New Roman"/>
          <w:b/>
          <w:sz w:val="24"/>
          <w:szCs w:val="24"/>
          <w:lang w:val="es-ES_tradnl" w:eastAsia="es-CO"/>
        </w:rPr>
        <w:t>05-Oct-2005</w:t>
      </w:r>
    </w:p>
    <w:p w:rsidR="00826820" w:rsidRPr="00826820" w:rsidRDefault="00826820" w:rsidP="00826820">
      <w:pPr>
        <w:spacing w:line="240" w:lineRule="auto"/>
        <w:jc w:val="center"/>
        <w:rPr>
          <w:rFonts w:ascii="Times New Roman" w:eastAsia="Times New Roman" w:hAnsi="Times New Roman" w:cs="Times New Roman"/>
          <w:sz w:val="24"/>
          <w:szCs w:val="24"/>
          <w:lang w:eastAsia="es-CO"/>
        </w:rPr>
      </w:pPr>
      <w:r w:rsidRPr="00826820">
        <w:rPr>
          <w:rFonts w:ascii="Times New Roman" w:eastAsia="Times New Roman" w:hAnsi="Times New Roman" w:cs="Times New Roman"/>
          <w:b/>
          <w:sz w:val="24"/>
          <w:szCs w:val="24"/>
          <w:lang w:val="es-ES_tradnl" w:eastAsia="es-CO"/>
        </w:rPr>
        <w:br/>
        <w:t>DIRECCIÓN DE IMPUESTOS Y ADUANAS NACIONALES – DIAN</w:t>
      </w:r>
    </w:p>
    <w:p w:rsidR="00826820" w:rsidRDefault="00826820" w:rsidP="00826820">
      <w:pPr>
        <w:spacing w:after="0" w:line="240" w:lineRule="auto"/>
        <w:jc w:val="both"/>
        <w:rPr>
          <w:rFonts w:ascii="Times New Roman" w:eastAsia="Times New Roman" w:hAnsi="Times New Roman" w:cs="Times New Roman"/>
          <w:sz w:val="24"/>
          <w:szCs w:val="24"/>
          <w:lang w:val="es-ES_tradnl" w:eastAsia="es-CO"/>
        </w:rPr>
      </w:pPr>
    </w:p>
    <w:p w:rsidR="00826820" w:rsidRPr="00826820" w:rsidRDefault="00826820" w:rsidP="00826820">
      <w:pPr>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val="es-ES_tradnl" w:eastAsia="es-CO"/>
        </w:rPr>
        <w:t>Bogotá, D.C., 05 de Octubre de 2005</w:t>
      </w:r>
    </w:p>
    <w:p w:rsidR="00826820" w:rsidRDefault="00826820" w:rsidP="00826820">
      <w:pPr>
        <w:spacing w:after="0" w:line="240" w:lineRule="auto"/>
        <w:jc w:val="both"/>
        <w:rPr>
          <w:rFonts w:ascii="Times New Roman" w:eastAsia="Times New Roman" w:hAnsi="Times New Roman" w:cs="Times New Roman"/>
          <w:sz w:val="24"/>
          <w:szCs w:val="24"/>
          <w:lang w:eastAsia="es-CO"/>
        </w:rPr>
      </w:pPr>
    </w:p>
    <w:p w:rsidR="00826820" w:rsidRPr="00826820" w:rsidRDefault="00826820" w:rsidP="00826820">
      <w:pPr>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val="es-ES_tradnl" w:eastAsia="es-CO"/>
        </w:rPr>
        <w:t>ÁREA: Tributaria</w:t>
      </w:r>
    </w:p>
    <w:p w:rsidR="00826820" w:rsidRDefault="00826820" w:rsidP="00826820">
      <w:pPr>
        <w:spacing w:after="0" w:line="240" w:lineRule="auto"/>
        <w:jc w:val="both"/>
        <w:rPr>
          <w:rFonts w:ascii="Times New Roman" w:eastAsia="Times New Roman" w:hAnsi="Times New Roman" w:cs="Times New Roman"/>
          <w:sz w:val="24"/>
          <w:szCs w:val="24"/>
          <w:lang w:val="es-ES_tradnl" w:eastAsia="es-CO"/>
        </w:rPr>
      </w:pPr>
    </w:p>
    <w:p w:rsidR="00826820" w:rsidRPr="00826820" w:rsidRDefault="00826820" w:rsidP="00826820">
      <w:pPr>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val="es-ES_tradnl" w:eastAsia="es-CO"/>
        </w:rPr>
        <w:t>Señora</w:t>
      </w:r>
      <w:r w:rsidRPr="00826820">
        <w:rPr>
          <w:rFonts w:ascii="Times New Roman" w:eastAsia="Times New Roman" w:hAnsi="Times New Roman" w:cs="Times New Roman"/>
          <w:sz w:val="24"/>
          <w:szCs w:val="24"/>
          <w:lang w:val="es-ES_tradnl" w:eastAsia="es-CO"/>
        </w:rPr>
        <w:br/>
        <w:t>MARY PORRAS MATEUS</w:t>
      </w: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t>Urbanización la Calleja- Barrio Asturias - Torre 7 Apto. 101</w:t>
      </w: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t>Bucaramanga</w:t>
      </w:r>
    </w:p>
    <w:p w:rsid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proofErr w:type="spellStart"/>
      <w:r w:rsidRPr="00826820">
        <w:rPr>
          <w:rFonts w:ascii="Times New Roman" w:eastAsia="Times New Roman" w:hAnsi="Times New Roman" w:cs="Times New Roman"/>
          <w:sz w:val="24"/>
          <w:szCs w:val="24"/>
          <w:lang w:eastAsia="es-CO"/>
        </w:rPr>
        <w:t>Ref</w:t>
      </w:r>
      <w:proofErr w:type="spellEnd"/>
      <w:r w:rsidRPr="00826820">
        <w:rPr>
          <w:rFonts w:ascii="Times New Roman" w:eastAsia="Times New Roman" w:hAnsi="Times New Roman" w:cs="Times New Roman"/>
          <w:sz w:val="24"/>
          <w:szCs w:val="24"/>
          <w:lang w:eastAsia="es-CO"/>
        </w:rPr>
        <w:t>: Consulta radicada bajo el número 53134 de 28/06/2005</w:t>
      </w:r>
    </w:p>
    <w:p w:rsid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t>De conformidad con el artículo 11 del Decreto 1265 de 1999 y el artículo 1° de la Resolución 5467 del 15 de junio de 2001, este Despacho es competente para absolver de manera general las consultas que se formulen sobre la interpretación y aplicación de las normas tributarias de carácter nacional. En este sentido se emite el presente concepto.</w:t>
      </w:r>
    </w:p>
    <w:p w:rsidR="00826820" w:rsidRDefault="00826820" w:rsidP="00826820">
      <w:pPr>
        <w:widowControl w:val="0"/>
        <w:tabs>
          <w:tab w:val="left" w:pos="2552"/>
        </w:tabs>
        <w:adjustRightInd w:val="0"/>
        <w:spacing w:after="0" w:line="240" w:lineRule="auto"/>
        <w:jc w:val="both"/>
        <w:rPr>
          <w:rFonts w:ascii="Times New Roman" w:eastAsia="Times New Roman" w:hAnsi="Times New Roman" w:cs="Times New Roman"/>
          <w:b/>
          <w:bCs/>
          <w:sz w:val="24"/>
          <w:szCs w:val="24"/>
          <w:lang w:eastAsia="es-CO"/>
        </w:rPr>
      </w:pPr>
    </w:p>
    <w:p w:rsidR="00826820" w:rsidRPr="00826820" w:rsidRDefault="00826820" w:rsidP="00826820">
      <w:pPr>
        <w:widowControl w:val="0"/>
        <w:tabs>
          <w:tab w:val="left" w:pos="2552"/>
        </w:tabs>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b/>
          <w:bCs/>
          <w:sz w:val="24"/>
          <w:szCs w:val="24"/>
          <w:lang w:eastAsia="es-CO"/>
        </w:rPr>
        <w:t>TEMA</w:t>
      </w:r>
      <w:r w:rsidRPr="00826820">
        <w:rPr>
          <w:rFonts w:ascii="Times New Roman" w:eastAsia="Times New Roman" w:hAnsi="Times New Roman" w:cs="Times New Roman"/>
          <w:sz w:val="24"/>
          <w:szCs w:val="24"/>
          <w:lang w:eastAsia="es-CO"/>
        </w:rPr>
        <w:t xml:space="preserve">   </w:t>
      </w:r>
      <w:r w:rsidRPr="00826820">
        <w:rPr>
          <w:rFonts w:ascii="Times New Roman" w:eastAsia="Times New Roman" w:hAnsi="Times New Roman" w:cs="Times New Roman"/>
          <w:sz w:val="24"/>
          <w:szCs w:val="24"/>
          <w:lang w:eastAsia="es-CO"/>
        </w:rPr>
        <w:tab/>
        <w:t>Impuesto sobre la Renta y Complementarios</w:t>
      </w:r>
    </w:p>
    <w:p w:rsidR="00826820" w:rsidRDefault="00826820" w:rsidP="00826820">
      <w:pPr>
        <w:widowControl w:val="0"/>
        <w:tabs>
          <w:tab w:val="left" w:pos="2552"/>
        </w:tabs>
        <w:adjustRightInd w:val="0"/>
        <w:spacing w:after="0" w:line="240" w:lineRule="auto"/>
        <w:jc w:val="both"/>
        <w:rPr>
          <w:rFonts w:ascii="Times New Roman" w:eastAsia="Times New Roman" w:hAnsi="Times New Roman" w:cs="Times New Roman"/>
          <w:b/>
          <w:bCs/>
          <w:sz w:val="24"/>
          <w:szCs w:val="24"/>
          <w:lang w:eastAsia="es-CO"/>
        </w:rPr>
      </w:pPr>
    </w:p>
    <w:p w:rsidR="00826820" w:rsidRPr="00826820" w:rsidRDefault="00826820" w:rsidP="00826820">
      <w:pPr>
        <w:widowControl w:val="0"/>
        <w:tabs>
          <w:tab w:val="left" w:pos="2552"/>
        </w:tabs>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b/>
          <w:bCs/>
          <w:sz w:val="24"/>
          <w:szCs w:val="24"/>
          <w:lang w:eastAsia="es-CO"/>
        </w:rPr>
        <w:t>DESCRIPTORES</w:t>
      </w:r>
      <w:r w:rsidRPr="00826820">
        <w:rPr>
          <w:rFonts w:ascii="Times New Roman" w:eastAsia="Times New Roman" w:hAnsi="Times New Roman" w:cs="Times New Roman"/>
          <w:sz w:val="24"/>
          <w:szCs w:val="24"/>
          <w:lang w:eastAsia="es-CO"/>
        </w:rPr>
        <w:t xml:space="preserve"> </w:t>
      </w:r>
      <w:r w:rsidRPr="00826820">
        <w:rPr>
          <w:rFonts w:ascii="Times New Roman" w:eastAsia="Times New Roman" w:hAnsi="Times New Roman" w:cs="Times New Roman"/>
          <w:sz w:val="24"/>
          <w:szCs w:val="24"/>
          <w:lang w:eastAsia="es-CO"/>
        </w:rPr>
        <w:tab/>
        <w:t>OBLIGACIÓN TRIBUTARIA FORMAL</w:t>
      </w:r>
    </w:p>
    <w:p w:rsidR="00826820" w:rsidRDefault="00826820" w:rsidP="00826820">
      <w:pPr>
        <w:widowControl w:val="0"/>
        <w:tabs>
          <w:tab w:val="left" w:pos="2552"/>
        </w:tabs>
        <w:adjustRightInd w:val="0"/>
        <w:spacing w:after="0" w:line="240" w:lineRule="auto"/>
        <w:jc w:val="both"/>
        <w:rPr>
          <w:rFonts w:ascii="Times New Roman" w:eastAsia="Times New Roman" w:hAnsi="Times New Roman" w:cs="Times New Roman"/>
          <w:b/>
          <w:bCs/>
          <w:sz w:val="24"/>
          <w:szCs w:val="24"/>
          <w:lang w:eastAsia="es-CO"/>
        </w:rPr>
      </w:pPr>
    </w:p>
    <w:p w:rsidR="00826820" w:rsidRPr="00826820" w:rsidRDefault="00826820" w:rsidP="00826820">
      <w:pPr>
        <w:widowControl w:val="0"/>
        <w:tabs>
          <w:tab w:val="left" w:pos="2552"/>
        </w:tabs>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b/>
          <w:bCs/>
          <w:sz w:val="24"/>
          <w:szCs w:val="24"/>
          <w:lang w:eastAsia="es-CO"/>
        </w:rPr>
        <w:t>FUENTES FORMALES</w:t>
      </w:r>
      <w:r w:rsidRPr="00826820">
        <w:rPr>
          <w:rFonts w:ascii="Times New Roman" w:eastAsia="Times New Roman" w:hAnsi="Times New Roman" w:cs="Times New Roman"/>
          <w:sz w:val="24"/>
          <w:szCs w:val="24"/>
          <w:lang w:eastAsia="es-CO"/>
        </w:rPr>
        <w:tab/>
      </w:r>
      <w:hyperlink r:id="rId5" w:tooltip="Estatuto Tributario CETA" w:history="1">
        <w:r w:rsidRPr="00826820">
          <w:rPr>
            <w:rFonts w:ascii="Times New Roman" w:eastAsia="Times New Roman" w:hAnsi="Times New Roman" w:cs="Times New Roman"/>
            <w:sz w:val="24"/>
            <w:szCs w:val="24"/>
            <w:lang w:eastAsia="es-CO"/>
          </w:rPr>
          <w:t>Artículo 594-3</w:t>
        </w:r>
      </w:hyperlink>
      <w:r w:rsidRPr="00826820">
        <w:rPr>
          <w:rFonts w:ascii="Times New Roman" w:eastAsia="Times New Roman" w:hAnsi="Times New Roman" w:cs="Times New Roman"/>
          <w:sz w:val="24"/>
          <w:szCs w:val="24"/>
          <w:lang w:eastAsia="es-CO"/>
        </w:rPr>
        <w:t xml:space="preserve"> del Estatuto Tributario</w:t>
      </w:r>
    </w:p>
    <w:p w:rsidR="00826820" w:rsidRDefault="00826820" w:rsidP="00826820">
      <w:pPr>
        <w:spacing w:after="0" w:line="240" w:lineRule="auto"/>
        <w:jc w:val="both"/>
        <w:rPr>
          <w:rFonts w:ascii="Times New Roman" w:eastAsia="Times New Roman" w:hAnsi="Times New Roman" w:cs="Times New Roman"/>
          <w:b/>
          <w:bCs/>
          <w:sz w:val="24"/>
          <w:szCs w:val="24"/>
          <w:lang w:eastAsia="es-CO"/>
        </w:rPr>
      </w:pPr>
    </w:p>
    <w:p w:rsidR="00826820" w:rsidRPr="00826820" w:rsidRDefault="00826820" w:rsidP="00826820">
      <w:pPr>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b/>
          <w:bCs/>
          <w:sz w:val="24"/>
          <w:szCs w:val="24"/>
          <w:lang w:val="es-ES_tradnl" w:eastAsia="es-CO"/>
        </w:rPr>
        <w:t>PROBLEMA JURÍDICO:</w:t>
      </w:r>
    </w:p>
    <w:p w:rsid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t xml:space="preserve">Están obligados a presentar declaración de renta y complementarios los contribuyentes  que, cumpliendo con los requisitos establecidos en los artículos </w:t>
      </w:r>
      <w:hyperlink r:id="rId6" w:tooltip="Estatuto Tributario CETA" w:history="1">
        <w:r w:rsidRPr="00826820">
          <w:rPr>
            <w:rFonts w:ascii="Times New Roman" w:eastAsia="Times New Roman" w:hAnsi="Times New Roman" w:cs="Times New Roman"/>
            <w:sz w:val="24"/>
            <w:szCs w:val="24"/>
            <w:lang w:eastAsia="es-CO"/>
          </w:rPr>
          <w:t>592</w:t>
        </w:r>
      </w:hyperlink>
      <w:r w:rsidRPr="00826820">
        <w:rPr>
          <w:rFonts w:ascii="Times New Roman" w:eastAsia="Times New Roman" w:hAnsi="Times New Roman" w:cs="Times New Roman"/>
          <w:sz w:val="24"/>
          <w:szCs w:val="24"/>
          <w:lang w:eastAsia="es-CO"/>
        </w:rPr>
        <w:t xml:space="preserve"> y </w:t>
      </w:r>
      <w:hyperlink r:id="rId7" w:tooltip="Estatuto Tributario CETA" w:history="1">
        <w:r w:rsidRPr="00826820">
          <w:rPr>
            <w:rFonts w:ascii="Times New Roman" w:eastAsia="Times New Roman" w:hAnsi="Times New Roman" w:cs="Times New Roman"/>
            <w:sz w:val="24"/>
            <w:szCs w:val="24"/>
            <w:lang w:eastAsia="es-CO"/>
          </w:rPr>
          <w:t>593</w:t>
        </w:r>
      </w:hyperlink>
      <w:r w:rsidRPr="00826820">
        <w:rPr>
          <w:rFonts w:ascii="Times New Roman" w:eastAsia="Times New Roman" w:hAnsi="Times New Roman" w:cs="Times New Roman"/>
          <w:sz w:val="24"/>
          <w:szCs w:val="24"/>
          <w:lang w:eastAsia="es-CO"/>
        </w:rPr>
        <w:t xml:space="preserve"> del Estatuto  Tributario, efectuaron o recibieron consignaciones superiores a $80.000.000 (valor año  2004), aun cuando se trate de ingresos recibidos para terceros?</w:t>
      </w:r>
    </w:p>
    <w:p w:rsidR="00826820" w:rsidRDefault="00826820" w:rsidP="00826820">
      <w:pPr>
        <w:spacing w:after="0" w:line="240" w:lineRule="auto"/>
        <w:jc w:val="both"/>
        <w:rPr>
          <w:rFonts w:ascii="Times New Roman" w:eastAsia="Times New Roman" w:hAnsi="Times New Roman" w:cs="Times New Roman"/>
          <w:b/>
          <w:bCs/>
          <w:sz w:val="24"/>
          <w:szCs w:val="24"/>
          <w:lang w:val="es-ES_tradnl" w:eastAsia="es-CO"/>
        </w:rPr>
      </w:pPr>
    </w:p>
    <w:p w:rsidR="00826820" w:rsidRDefault="00826820" w:rsidP="00826820">
      <w:pPr>
        <w:spacing w:after="0" w:line="240" w:lineRule="auto"/>
        <w:jc w:val="both"/>
        <w:rPr>
          <w:rFonts w:ascii="Times New Roman" w:eastAsia="Times New Roman" w:hAnsi="Times New Roman" w:cs="Times New Roman"/>
          <w:b/>
          <w:bCs/>
          <w:sz w:val="24"/>
          <w:szCs w:val="24"/>
          <w:lang w:val="es-ES_tradnl" w:eastAsia="es-CO"/>
        </w:rPr>
      </w:pPr>
      <w:r w:rsidRPr="00826820">
        <w:rPr>
          <w:rFonts w:ascii="Times New Roman" w:eastAsia="Times New Roman" w:hAnsi="Times New Roman" w:cs="Times New Roman"/>
          <w:b/>
          <w:bCs/>
          <w:sz w:val="24"/>
          <w:szCs w:val="24"/>
          <w:lang w:val="es-ES_tradnl" w:eastAsia="es-CO"/>
        </w:rPr>
        <w:t>TESIS JURÍDICA:</w:t>
      </w:r>
    </w:p>
    <w:p w:rsidR="00826820" w:rsidRPr="00826820" w:rsidRDefault="00826820" w:rsidP="00826820">
      <w:pPr>
        <w:spacing w:after="0" w:line="240" w:lineRule="auto"/>
        <w:jc w:val="both"/>
        <w:rPr>
          <w:rFonts w:ascii="Times New Roman" w:eastAsia="Times New Roman" w:hAnsi="Times New Roman" w:cs="Times New Roman"/>
          <w:sz w:val="24"/>
          <w:szCs w:val="24"/>
          <w:lang w:eastAsia="es-CO"/>
        </w:rPr>
      </w:pP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t xml:space="preserve">Los contribuyentes que, cumpliendo con los requisitos establecidos en los artículos </w:t>
      </w:r>
      <w:hyperlink r:id="rId8" w:tooltip="Estatuto Tributario CETA" w:history="1">
        <w:r w:rsidRPr="00826820">
          <w:rPr>
            <w:rFonts w:ascii="Times New Roman" w:eastAsia="Times New Roman" w:hAnsi="Times New Roman" w:cs="Times New Roman"/>
            <w:sz w:val="24"/>
            <w:szCs w:val="24"/>
            <w:lang w:eastAsia="es-CO"/>
          </w:rPr>
          <w:t>592</w:t>
        </w:r>
      </w:hyperlink>
      <w:r w:rsidRPr="00826820">
        <w:rPr>
          <w:rFonts w:ascii="Times New Roman" w:eastAsia="Times New Roman" w:hAnsi="Times New Roman" w:cs="Times New Roman"/>
          <w:sz w:val="24"/>
          <w:szCs w:val="24"/>
          <w:lang w:eastAsia="es-CO"/>
        </w:rPr>
        <w:t xml:space="preserve"> y </w:t>
      </w:r>
      <w:hyperlink r:id="rId9" w:tooltip="Estatuto Tributario CETA" w:history="1">
        <w:r w:rsidRPr="00826820">
          <w:rPr>
            <w:rFonts w:ascii="Times New Roman" w:eastAsia="Times New Roman" w:hAnsi="Times New Roman" w:cs="Times New Roman"/>
            <w:sz w:val="24"/>
            <w:szCs w:val="24"/>
            <w:lang w:eastAsia="es-CO"/>
          </w:rPr>
          <w:t>593</w:t>
        </w:r>
      </w:hyperlink>
      <w:r w:rsidRPr="00826820">
        <w:rPr>
          <w:rFonts w:ascii="Times New Roman" w:eastAsia="Times New Roman" w:hAnsi="Times New Roman" w:cs="Times New Roman"/>
          <w:sz w:val="24"/>
          <w:szCs w:val="24"/>
          <w:lang w:eastAsia="es-CO"/>
        </w:rPr>
        <w:t xml:space="preserve"> del Estatuto Tributario, efectuaron o recibieron consignaciones superiores a £80,000.000 (valor año 2004), aun cuando se trate de ingresos recibidos para terceros, están obligados a presentar declaración de renta y complementarios, sin perjuicio de la obligación de declarar que tienen, a su vez, las personas en cuyo nombre se recibieron tales ingresos.</w:t>
      </w:r>
    </w:p>
    <w:p w:rsidR="00826820" w:rsidRDefault="00826820" w:rsidP="00826820">
      <w:pPr>
        <w:widowControl w:val="0"/>
        <w:adjustRightInd w:val="0"/>
        <w:spacing w:after="0" w:line="240" w:lineRule="auto"/>
        <w:jc w:val="both"/>
        <w:rPr>
          <w:rFonts w:ascii="Times New Roman" w:eastAsia="Times New Roman" w:hAnsi="Times New Roman" w:cs="Times New Roman"/>
          <w:b/>
          <w:bCs/>
          <w:sz w:val="24"/>
          <w:szCs w:val="24"/>
          <w:lang w:eastAsia="es-CO"/>
        </w:rPr>
      </w:pP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b/>
          <w:bCs/>
          <w:sz w:val="24"/>
          <w:szCs w:val="24"/>
          <w:lang w:eastAsia="es-CO"/>
        </w:rPr>
        <w:t>INTERPRETACIÓN JURÍDICA:</w:t>
      </w: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lastRenderedPageBreak/>
        <w:t>En el escrito de la referencia consulta si está obligada a presentar declaración de renta y complementarios una persona que tiene un hijo residente en el exterior quien, en el año 2004. le efectuó giros a su cuenta bancaria por más de cien millones de pesos, con el objeto de adquirir un lote y construir una casa, previo contrato escrito entre el girador y el constructor, sumas que posteriormente son canceladas al arquitecto encargado de la obra.</w:t>
      </w:r>
    </w:p>
    <w:p w:rsid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p>
    <w:p w:rsid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t xml:space="preserve">Los artículos </w:t>
      </w:r>
      <w:hyperlink r:id="rId10" w:tooltip="Estatuto Tributario CETA" w:history="1">
        <w:r w:rsidRPr="00826820">
          <w:rPr>
            <w:rFonts w:ascii="Times New Roman" w:eastAsia="Times New Roman" w:hAnsi="Times New Roman" w:cs="Times New Roman"/>
            <w:sz w:val="24"/>
            <w:szCs w:val="24"/>
            <w:lang w:eastAsia="es-CO"/>
          </w:rPr>
          <w:t>592</w:t>
        </w:r>
      </w:hyperlink>
      <w:r w:rsidRPr="00826820">
        <w:rPr>
          <w:rFonts w:ascii="Times New Roman" w:eastAsia="Times New Roman" w:hAnsi="Times New Roman" w:cs="Times New Roman"/>
          <w:sz w:val="24"/>
          <w:szCs w:val="24"/>
          <w:lang w:eastAsia="es-CO"/>
        </w:rPr>
        <w:t xml:space="preserve">, </w:t>
      </w:r>
      <w:hyperlink r:id="rId11" w:tooltip="Estatuto Tributario CETA" w:history="1">
        <w:r w:rsidRPr="00826820">
          <w:rPr>
            <w:rFonts w:ascii="Times New Roman" w:eastAsia="Times New Roman" w:hAnsi="Times New Roman" w:cs="Times New Roman"/>
            <w:sz w:val="24"/>
            <w:szCs w:val="24"/>
            <w:lang w:eastAsia="es-CO"/>
          </w:rPr>
          <w:t>593</w:t>
        </w:r>
      </w:hyperlink>
      <w:r w:rsidRPr="00826820">
        <w:rPr>
          <w:rFonts w:ascii="Times New Roman" w:eastAsia="Times New Roman" w:hAnsi="Times New Roman" w:cs="Times New Roman"/>
          <w:sz w:val="24"/>
          <w:szCs w:val="24"/>
          <w:lang w:eastAsia="es-CO"/>
        </w:rPr>
        <w:t xml:space="preserve">, </w:t>
      </w:r>
      <w:hyperlink r:id="rId12" w:tooltip="Estatuto Tributario CETA" w:history="1">
        <w:r w:rsidRPr="00826820">
          <w:rPr>
            <w:rFonts w:ascii="Times New Roman" w:eastAsia="Times New Roman" w:hAnsi="Times New Roman" w:cs="Times New Roman"/>
            <w:sz w:val="24"/>
            <w:szCs w:val="24"/>
            <w:lang w:eastAsia="es-CO"/>
          </w:rPr>
          <w:t>594-1</w:t>
        </w:r>
      </w:hyperlink>
      <w:r w:rsidRPr="00826820">
        <w:rPr>
          <w:rFonts w:ascii="Times New Roman" w:eastAsia="Times New Roman" w:hAnsi="Times New Roman" w:cs="Times New Roman"/>
          <w:sz w:val="24"/>
          <w:szCs w:val="24"/>
          <w:lang w:eastAsia="es-CO"/>
        </w:rPr>
        <w:t xml:space="preserve"> y </w:t>
      </w:r>
      <w:hyperlink r:id="rId13" w:tooltip="Estatuto Tributario CETA" w:history="1">
        <w:r w:rsidRPr="00826820">
          <w:rPr>
            <w:rFonts w:ascii="Times New Roman" w:eastAsia="Times New Roman" w:hAnsi="Times New Roman" w:cs="Times New Roman"/>
            <w:sz w:val="24"/>
            <w:szCs w:val="24"/>
            <w:lang w:eastAsia="es-CO"/>
          </w:rPr>
          <w:t>594-3</w:t>
        </w:r>
      </w:hyperlink>
      <w:r w:rsidRPr="00826820">
        <w:rPr>
          <w:rFonts w:ascii="Times New Roman" w:eastAsia="Times New Roman" w:hAnsi="Times New Roman" w:cs="Times New Roman"/>
          <w:sz w:val="24"/>
          <w:szCs w:val="24"/>
          <w:lang w:eastAsia="es-CO"/>
        </w:rPr>
        <w:t xml:space="preserve"> del Estatuto Tributario consagran los requisitos que deben cumplir los contribuyentes del impuesto sobre la renta para no estar obligados a presentar declaración. El literal c) del </w:t>
      </w:r>
      <w:hyperlink r:id="rId14" w:tooltip="Estatuto Tributario CETA" w:history="1">
        <w:r w:rsidRPr="00826820">
          <w:rPr>
            <w:rFonts w:ascii="Times New Roman" w:eastAsia="Times New Roman" w:hAnsi="Times New Roman" w:cs="Times New Roman"/>
            <w:sz w:val="24"/>
            <w:szCs w:val="24"/>
            <w:lang w:eastAsia="es-CO"/>
          </w:rPr>
          <w:t>artículo 594-3</w:t>
        </w:r>
      </w:hyperlink>
      <w:r w:rsidRPr="00826820">
        <w:rPr>
          <w:rFonts w:ascii="Times New Roman" w:eastAsia="Times New Roman" w:hAnsi="Times New Roman" w:cs="Times New Roman"/>
          <w:sz w:val="24"/>
          <w:szCs w:val="24"/>
          <w:lang w:eastAsia="es-CO"/>
        </w:rPr>
        <w:t xml:space="preserve"> del Estatuto Tributario es claro en señalar, dentro de dichos requisitos, que el valor total acumulado de las consignaciones bancarias, depósitos o inversiones financieras, durante el año gravable no exceda de $80.000.000 (valor año 2004). Así las cosas, si durante el año 2004 una persona recibió consignaciones por valores superiores a ochenta millones de pesos (S80.000.000) estará obligada a declarar, independientemente de que dichas consignaciones correspondan a ingresos recibidos para terceros, ya que la norma no hizo ninguna distinción al respecto.</w:t>
      </w: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p>
    <w:p w:rsid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t xml:space="preserve">En efecto, el </w:t>
      </w:r>
      <w:hyperlink r:id="rId15" w:tooltip="Estatuto Tributario CETA" w:history="1">
        <w:r w:rsidRPr="00826820">
          <w:rPr>
            <w:rFonts w:ascii="Times New Roman" w:eastAsia="Times New Roman" w:hAnsi="Times New Roman" w:cs="Times New Roman"/>
            <w:sz w:val="24"/>
            <w:szCs w:val="24"/>
            <w:lang w:eastAsia="es-CO"/>
          </w:rPr>
          <w:t>artículo 594-3</w:t>
        </w:r>
      </w:hyperlink>
      <w:r w:rsidRPr="00826820">
        <w:rPr>
          <w:rFonts w:ascii="Times New Roman" w:eastAsia="Times New Roman" w:hAnsi="Times New Roman" w:cs="Times New Roman"/>
          <w:sz w:val="24"/>
          <w:szCs w:val="24"/>
          <w:lang w:eastAsia="es-CO"/>
        </w:rPr>
        <w:t xml:space="preserve"> del Estatuto Tributario, adicionado por la Ley 863 de 2003, establece, como medida de control tributario, otras condiciones objetivas para estar obligado a presentar declaración de renta, además de los requisitos señalados en los artículos </w:t>
      </w:r>
      <w:hyperlink r:id="rId16" w:tooltip="Estatuto Tributario CETA" w:history="1">
        <w:r w:rsidRPr="00826820">
          <w:rPr>
            <w:rFonts w:ascii="Times New Roman" w:eastAsia="Times New Roman" w:hAnsi="Times New Roman" w:cs="Times New Roman"/>
            <w:sz w:val="24"/>
            <w:szCs w:val="24"/>
            <w:lang w:eastAsia="es-CO"/>
          </w:rPr>
          <w:t>592</w:t>
        </w:r>
      </w:hyperlink>
      <w:r w:rsidRPr="00826820">
        <w:rPr>
          <w:rFonts w:ascii="Times New Roman" w:eastAsia="Times New Roman" w:hAnsi="Times New Roman" w:cs="Times New Roman"/>
          <w:sz w:val="24"/>
          <w:szCs w:val="24"/>
          <w:lang w:eastAsia="es-CO"/>
        </w:rPr>
        <w:t xml:space="preserve">, </w:t>
      </w:r>
      <w:hyperlink r:id="rId17" w:tooltip="Estatuto Tributario CETA" w:history="1">
        <w:r w:rsidRPr="00826820">
          <w:rPr>
            <w:rFonts w:ascii="Times New Roman" w:eastAsia="Times New Roman" w:hAnsi="Times New Roman" w:cs="Times New Roman"/>
            <w:sz w:val="24"/>
            <w:szCs w:val="24"/>
            <w:lang w:eastAsia="es-CO"/>
          </w:rPr>
          <w:t>593</w:t>
        </w:r>
      </w:hyperlink>
      <w:r w:rsidRPr="00826820">
        <w:rPr>
          <w:rFonts w:ascii="Times New Roman" w:eastAsia="Times New Roman" w:hAnsi="Times New Roman" w:cs="Times New Roman"/>
          <w:sz w:val="24"/>
          <w:szCs w:val="24"/>
          <w:lang w:eastAsia="es-CO"/>
        </w:rPr>
        <w:t xml:space="preserve"> y </w:t>
      </w:r>
      <w:hyperlink r:id="rId18" w:tooltip="Estatuto Tributario CETA" w:history="1">
        <w:r w:rsidRPr="00826820">
          <w:rPr>
            <w:rFonts w:ascii="Times New Roman" w:eastAsia="Times New Roman" w:hAnsi="Times New Roman" w:cs="Times New Roman"/>
            <w:sz w:val="24"/>
            <w:szCs w:val="24"/>
            <w:lang w:eastAsia="es-CO"/>
          </w:rPr>
          <w:t>594-1</w:t>
        </w:r>
      </w:hyperlink>
      <w:r w:rsidRPr="00826820">
        <w:rPr>
          <w:rFonts w:ascii="Times New Roman" w:eastAsia="Times New Roman" w:hAnsi="Times New Roman" w:cs="Times New Roman"/>
          <w:sz w:val="24"/>
          <w:szCs w:val="24"/>
          <w:lang w:eastAsia="es-CO"/>
        </w:rPr>
        <w:t xml:space="preserve"> del Estatuto Tributario. Estas condiciones adicionales del </w:t>
      </w:r>
      <w:hyperlink r:id="rId19" w:tooltip="Estatuto Tributario CETA" w:history="1">
        <w:r w:rsidRPr="00826820">
          <w:rPr>
            <w:rFonts w:ascii="Times New Roman" w:eastAsia="Times New Roman" w:hAnsi="Times New Roman" w:cs="Times New Roman"/>
            <w:sz w:val="24"/>
            <w:szCs w:val="24"/>
            <w:lang w:eastAsia="es-CO"/>
          </w:rPr>
          <w:t>artículo 594-3</w:t>
        </w:r>
      </w:hyperlink>
      <w:r w:rsidRPr="00826820">
        <w:rPr>
          <w:rFonts w:ascii="Times New Roman" w:eastAsia="Times New Roman" w:hAnsi="Times New Roman" w:cs="Times New Roman"/>
          <w:sz w:val="24"/>
          <w:szCs w:val="24"/>
          <w:lang w:eastAsia="es-CO"/>
        </w:rPr>
        <w:t xml:space="preserve">, entre las cuales está el monto de las consignaciones bancarias, son independientes de los topes de ingresos y patrimonio que señalan las normas precedentes. </w:t>
      </w:r>
    </w:p>
    <w:p w:rsid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p>
    <w:p w:rsid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t xml:space="preserve">Por lo tanto, cuando un contribuyente supere de manera independiente uno cualquiera de los topes señalados en los artículos mencionados debe presentar declaración de renta por el período respectivo. Si no supera los topes contemplados en las normas que se refieren a contribuyentes de menores ingresos, asalariados y trabajadores independientes, pero excede los límites contemplados en el </w:t>
      </w:r>
      <w:hyperlink r:id="rId20" w:tooltip="Estatuto Tributario CETA" w:history="1">
        <w:r w:rsidRPr="00826820">
          <w:rPr>
            <w:rFonts w:ascii="Times New Roman" w:eastAsia="Times New Roman" w:hAnsi="Times New Roman" w:cs="Times New Roman"/>
            <w:sz w:val="24"/>
            <w:szCs w:val="24"/>
            <w:lang w:eastAsia="es-CO"/>
          </w:rPr>
          <w:t>artículo 594-3</w:t>
        </w:r>
      </w:hyperlink>
      <w:r w:rsidRPr="00826820">
        <w:rPr>
          <w:rFonts w:ascii="Times New Roman" w:eastAsia="Times New Roman" w:hAnsi="Times New Roman" w:cs="Times New Roman"/>
          <w:sz w:val="24"/>
          <w:szCs w:val="24"/>
          <w:lang w:eastAsia="es-CO"/>
        </w:rPr>
        <w:t xml:space="preserve"> , se encuentra obligado a presentar declaración de renta por el respectivo año gravable</w:t>
      </w:r>
      <w:r>
        <w:rPr>
          <w:rFonts w:ascii="Times New Roman" w:eastAsia="Times New Roman" w:hAnsi="Times New Roman" w:cs="Times New Roman"/>
          <w:sz w:val="24"/>
          <w:szCs w:val="24"/>
          <w:lang w:eastAsia="es-CO"/>
        </w:rPr>
        <w:t>.</w:t>
      </w: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p>
    <w:p w:rsid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t>Ahora bien, como quiera que, de acuerdo al planteamiento de la consulta, las consignaciones corresponden a ingresos recibidos para terceros, es del caso aclarar que, en tanto que éstos no son susceptibles de capitalizarse en cabeza de quien figura como intermediario, éste solo debe incluir en el denuncio rentístico los ingresos propios; por ende, el beneficiario real en cuyo nombre se recibieron dichos ingresos debe reflejarlos en su declaración del correspondiente período gravable.</w:t>
      </w: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t>En todo caso, el intermediario debe estar en capacidad de probar, cuando la administración tributaria lo requiera, la calidad en la cual actúa y el motivo por el cual no incluyo en su declaración los valores que corresponden a las consignaciones depósitos.</w:t>
      </w:r>
    </w:p>
    <w:p w:rsid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t>Cordialmente,</w:t>
      </w:r>
    </w:p>
    <w:p w:rsid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t>JUAN JOSE FUENTES BERNAL</w:t>
      </w: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r w:rsidRPr="00826820">
        <w:rPr>
          <w:rFonts w:ascii="Times New Roman" w:eastAsia="Times New Roman" w:hAnsi="Times New Roman" w:cs="Times New Roman"/>
          <w:sz w:val="24"/>
          <w:szCs w:val="24"/>
          <w:lang w:eastAsia="es-CO"/>
        </w:rPr>
        <w:t>Jefe División de Normativa y Doctrina Tributaria</w:t>
      </w:r>
    </w:p>
    <w:p w:rsidR="00826820" w:rsidRPr="00826820" w:rsidRDefault="00826820" w:rsidP="00826820">
      <w:pPr>
        <w:widowControl w:val="0"/>
        <w:adjustRightInd w:val="0"/>
        <w:spacing w:after="0" w:line="240" w:lineRule="auto"/>
        <w:jc w:val="both"/>
        <w:rPr>
          <w:rFonts w:ascii="Times New Roman" w:eastAsia="Times New Roman" w:hAnsi="Times New Roman" w:cs="Times New Roman"/>
          <w:sz w:val="24"/>
          <w:szCs w:val="24"/>
          <w:lang w:eastAsia="es-CO"/>
        </w:rPr>
      </w:pPr>
      <w:bookmarkStart w:id="0" w:name="_GoBack"/>
      <w:bookmarkEnd w:id="0"/>
      <w:r w:rsidRPr="00826820">
        <w:rPr>
          <w:rFonts w:ascii="Times New Roman" w:eastAsia="Times New Roman" w:hAnsi="Times New Roman" w:cs="Times New Roman"/>
          <w:sz w:val="24"/>
          <w:szCs w:val="24"/>
          <w:lang w:eastAsia="es-CO"/>
        </w:rPr>
        <w:t>Oficina Jurídica</w:t>
      </w:r>
    </w:p>
    <w:p w:rsidR="006F25C2" w:rsidRPr="00826820" w:rsidRDefault="006F25C2">
      <w:pPr>
        <w:rPr>
          <w:rFonts w:ascii="Times New Roman" w:hAnsi="Times New Roman" w:cs="Times New Roman"/>
          <w:sz w:val="24"/>
          <w:szCs w:val="24"/>
        </w:rPr>
      </w:pPr>
    </w:p>
    <w:sectPr w:rsidR="006F25C2" w:rsidRPr="008268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20"/>
    <w:rsid w:val="006F25C2"/>
    <w:rsid w:val="008268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30" TargetMode="External"/><Relationship Id="rId13" Type="http://schemas.openxmlformats.org/officeDocument/2006/relationships/hyperlink" Target="http://www.ceta.org.co/html/vista_de_un_articulo.asp?Norma=12019" TargetMode="External"/><Relationship Id="rId18" Type="http://schemas.openxmlformats.org/officeDocument/2006/relationships/hyperlink" Target="http://www.ceta.org.co/html/vista_de_un_articulo.asp?Norma=73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eta.org.co/html/vista_de_un_articulo.asp?Norma=731" TargetMode="External"/><Relationship Id="rId12" Type="http://schemas.openxmlformats.org/officeDocument/2006/relationships/hyperlink" Target="http://www.ceta.org.co/html/vista_de_un_articulo.asp?Norma=733" TargetMode="External"/><Relationship Id="rId17" Type="http://schemas.openxmlformats.org/officeDocument/2006/relationships/hyperlink" Target="http://www.ceta.org.co/html/vista_de_un_articulo.asp?Norma=731"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730" TargetMode="External"/><Relationship Id="rId20" Type="http://schemas.openxmlformats.org/officeDocument/2006/relationships/hyperlink" Target="http://www.ceta.org.co/html/vista_de_un_articulo.asp?Norma=12019" TargetMode="External"/><Relationship Id="rId1" Type="http://schemas.openxmlformats.org/officeDocument/2006/relationships/styles" Target="styles.xml"/><Relationship Id="rId6" Type="http://schemas.openxmlformats.org/officeDocument/2006/relationships/hyperlink" Target="http://www.ceta.org.co/html/vista_de_un_articulo.asp?Norma=730" TargetMode="External"/><Relationship Id="rId11" Type="http://schemas.openxmlformats.org/officeDocument/2006/relationships/hyperlink" Target="http://www.ceta.org.co/html/vista_de_un_articulo.asp?Norma=731" TargetMode="External"/><Relationship Id="rId5" Type="http://schemas.openxmlformats.org/officeDocument/2006/relationships/hyperlink" Target="http://www.ceta.org.co/html/vista_de_un_articulo.asp?Norma=12019" TargetMode="External"/><Relationship Id="rId15" Type="http://schemas.openxmlformats.org/officeDocument/2006/relationships/hyperlink" Target="http://www.ceta.org.co/html/vista_de_un_articulo.asp?Norma=12019" TargetMode="External"/><Relationship Id="rId10" Type="http://schemas.openxmlformats.org/officeDocument/2006/relationships/hyperlink" Target="http://www.ceta.org.co/html/vista_de_un_articulo.asp?Norma=730" TargetMode="External"/><Relationship Id="rId19" Type="http://schemas.openxmlformats.org/officeDocument/2006/relationships/hyperlink" Target="http://www.ceta.org.co/html/vista_de_un_articulo.asp?Norma=12019"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31" TargetMode="External"/><Relationship Id="rId14" Type="http://schemas.openxmlformats.org/officeDocument/2006/relationships/hyperlink" Target="http://www.ceta.org.co/html/vista_de_un_articulo.asp?Norma=1201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1001</Words>
  <Characters>5507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2013-09-24T02:55:00Z</dcterms:created>
  <dcterms:modified xsi:type="dcterms:W3CDTF">2013-09-24T03:01:00Z</dcterms:modified>
</cp:coreProperties>
</file>